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1F84F47A"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FB5055">
        <w:rPr>
          <w:rFonts w:ascii="Arial" w:hAnsi="Arial" w:cs="Arial"/>
          <w:b/>
          <w:bCs/>
          <w:sz w:val="22"/>
          <w:szCs w:val="22"/>
        </w:rPr>
        <w:t>16</w:t>
      </w:r>
      <w:r w:rsidRPr="003E637B">
        <w:rPr>
          <w:rFonts w:ascii="Arial" w:hAnsi="Arial" w:cs="Arial"/>
          <w:b/>
          <w:bCs/>
          <w:sz w:val="22"/>
          <w:szCs w:val="22"/>
        </w:rPr>
        <w:t xml:space="preserve"> : </w:t>
      </w:r>
      <w:r w:rsidR="006F7080">
        <w:rPr>
          <w:rFonts w:ascii="Arial" w:hAnsi="Arial" w:cs="Arial"/>
          <w:b/>
          <w:bCs/>
          <w:sz w:val="22"/>
          <w:szCs w:val="22"/>
        </w:rPr>
        <w:t xml:space="preserve">Fabrication de </w:t>
      </w:r>
      <w:r w:rsidR="00506CEA">
        <w:rPr>
          <w:rFonts w:ascii="Arial" w:hAnsi="Arial" w:cs="Arial"/>
          <w:b/>
          <w:bCs/>
          <w:sz w:val="22"/>
          <w:szCs w:val="22"/>
        </w:rPr>
        <w:t>« </w:t>
      </w:r>
      <w:r w:rsidR="006F7080">
        <w:rPr>
          <w:rFonts w:ascii="Arial" w:hAnsi="Arial" w:cs="Arial"/>
          <w:b/>
          <w:bCs/>
          <w:sz w:val="22"/>
          <w:szCs w:val="22"/>
        </w:rPr>
        <w:t>stères</w:t>
      </w:r>
      <w:r w:rsidR="00506CEA">
        <w:rPr>
          <w:rFonts w:ascii="Arial" w:hAnsi="Arial" w:cs="Arial"/>
          <w:b/>
          <w:bCs/>
          <w:sz w:val="22"/>
          <w:szCs w:val="22"/>
        </w:rPr>
        <w:t> »</w:t>
      </w:r>
      <w:r w:rsidR="00923CAD" w:rsidRPr="003E637B">
        <w:rPr>
          <w:rFonts w:ascii="Arial" w:hAnsi="Arial" w:cs="Arial"/>
          <w:b/>
          <w:bCs/>
          <w:sz w:val="22"/>
          <w:szCs w:val="22"/>
        </w:rPr>
        <w:t xml:space="preserve"> – </w:t>
      </w:r>
      <w:r w:rsidR="003E637B" w:rsidRPr="003E637B">
        <w:rPr>
          <w:rFonts w:ascii="Arial" w:hAnsi="Arial" w:cs="Arial"/>
          <w:b/>
          <w:bCs/>
          <w:sz w:val="22"/>
          <w:szCs w:val="22"/>
        </w:rPr>
        <w:t>FD</w:t>
      </w:r>
      <w:r w:rsidR="006F7080">
        <w:rPr>
          <w:rFonts w:ascii="Arial" w:hAnsi="Arial" w:cs="Arial"/>
          <w:b/>
          <w:bCs/>
          <w:sz w:val="22"/>
          <w:szCs w:val="22"/>
        </w:rPr>
        <w:t xml:space="preserve"> </w:t>
      </w:r>
      <w:r w:rsidR="00FB5055">
        <w:rPr>
          <w:rFonts w:ascii="Arial" w:hAnsi="Arial" w:cs="Arial"/>
          <w:b/>
          <w:bCs/>
          <w:sz w:val="22"/>
          <w:szCs w:val="22"/>
        </w:rPr>
        <w:t xml:space="preserve">Saint </w:t>
      </w:r>
      <w:proofErr w:type="spellStart"/>
      <w:r w:rsidR="00FB5055">
        <w:rPr>
          <w:rFonts w:ascii="Arial" w:hAnsi="Arial" w:cs="Arial"/>
          <w:b/>
          <w:bCs/>
          <w:sz w:val="22"/>
          <w:szCs w:val="22"/>
        </w:rPr>
        <w:t>Nabor</w:t>
      </w:r>
      <w:proofErr w:type="spellEnd"/>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6E7C035F"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506CEA">
        <w:rPr>
          <w:rFonts w:ascii="Arial" w:hAnsi="Arial" w:cs="Arial"/>
          <w:color w:val="000000"/>
          <w:sz w:val="20"/>
          <w:szCs w:val="20"/>
        </w:rPr>
        <w:t>mètres cubes apparents</w:t>
      </w:r>
      <w:r w:rsidR="00F60604" w:rsidRPr="003E637B">
        <w:rPr>
          <w:rFonts w:ascii="Arial" w:hAnsi="Arial" w:cs="Arial"/>
          <w:color w:val="000000"/>
          <w:sz w:val="20"/>
          <w:szCs w:val="20"/>
        </w:rPr>
        <w:t xml:space="preserve"> 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0"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0"/>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1"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2"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3"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3"/>
      <w:r w:rsidR="00C905E5" w:rsidRPr="003E637B">
        <w:rPr>
          <w:rFonts w:ascii="Arial" w:hAnsi="Arial" w:cs="Arial"/>
          <w:sz w:val="20"/>
          <w:szCs w:val="20"/>
        </w:rPr>
        <w:t>06 23 24 61 59</w:t>
      </w:r>
    </w:p>
    <w:bookmarkEnd w:id="2"/>
    <w:bookmarkEnd w:id="1"/>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4"/>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6F7080">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5"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5"/>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36A4F2B3"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2"/>
                  <w:enabled/>
                  <w:calcOnExit w:val="0"/>
                  <w:checkBox>
                    <w:sizeAuto/>
                    <w:default w:val="0"/>
                  </w:checkBox>
                </w:ffData>
              </w:fldChar>
            </w:r>
            <w:bookmarkStart w:id="6" w:name="CaseACocher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6"/>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74450EC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5"/>
                  <w:enabled/>
                  <w:calcOnExit w:val="0"/>
                  <w:checkBox>
                    <w:sizeAuto/>
                    <w:default w:val="0"/>
                  </w:checkBox>
                </w:ffData>
              </w:fldChar>
            </w:r>
            <w:bookmarkStart w:id="7" w:name="CaseACocher5"/>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7"/>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3A955169"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6"/>
                  <w:enabled/>
                  <w:calcOnExit w:val="0"/>
                  <w:checkBox>
                    <w:sizeAuto/>
                    <w:default w:val="0"/>
                  </w:checkBox>
                </w:ffData>
              </w:fldChar>
            </w:r>
            <w:bookmarkStart w:id="8" w:name="CaseACocher6"/>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8"/>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292DE22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7"/>
                  <w:enabled/>
                  <w:calcOnExit w:val="0"/>
                  <w:checkBox>
                    <w:sizeAuto/>
                    <w:default w:val="0"/>
                  </w:checkBox>
                </w:ffData>
              </w:fldChar>
            </w:r>
            <w:bookmarkStart w:id="9" w:name="CaseACocher7"/>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9"/>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BFC28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8"/>
                  <w:enabled/>
                  <w:calcOnExit w:val="0"/>
                  <w:checkBox>
                    <w:sizeAuto/>
                    <w:default w:val="0"/>
                  </w:checkBox>
                </w:ffData>
              </w:fldChar>
            </w:r>
            <w:bookmarkStart w:id="10" w:name="CaseACocher8"/>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0"/>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2B1F55B6" w14:textId="6C27DFFC" w:rsidR="006F7080"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6F7080">
              <w:rPr>
                <w:sz w:val="22"/>
                <w:szCs w:val="22"/>
              </w:rPr>
              <w:fldChar w:fldCharType="begin">
                <w:ffData>
                  <w:name w:val="CaseACocher9"/>
                  <w:enabled/>
                  <w:calcOnExit w:val="0"/>
                  <w:checkBox>
                    <w:sizeAuto/>
                    <w:default w:val="0"/>
                  </w:checkBox>
                </w:ffData>
              </w:fldChar>
            </w:r>
            <w:bookmarkStart w:id="11" w:name="CaseACocher9"/>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1"/>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6F7080" w:rsidRPr="003E637B" w14:paraId="51746564" w14:textId="77777777" w:rsidTr="006F7080">
        <w:tc>
          <w:tcPr>
            <w:tcW w:w="4606" w:type="dxa"/>
            <w:tcBorders>
              <w:top w:val="nil"/>
              <w:left w:val="single" w:sz="4" w:space="0" w:color="auto"/>
              <w:bottom w:val="single" w:sz="4" w:space="0" w:color="auto"/>
            </w:tcBorders>
            <w:vAlign w:val="center"/>
          </w:tcPr>
          <w:p w14:paraId="209D086D" w14:textId="32D75B71" w:rsidR="006F7080" w:rsidRDefault="006F7080" w:rsidP="004366C6">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p w14:paraId="4E7F8EE9" w14:textId="2096D9A3" w:rsidR="006F7080" w:rsidRPr="003E637B" w:rsidRDefault="006F7080" w:rsidP="004366C6">
            <w:pPr>
              <w:autoSpaceDE w:val="0"/>
              <w:autoSpaceDN w:val="0"/>
              <w:adjustRightInd w:val="0"/>
              <w:rPr>
                <w:sz w:val="22"/>
                <w:szCs w:val="22"/>
              </w:rPr>
            </w:pPr>
          </w:p>
        </w:tc>
        <w:tc>
          <w:tcPr>
            <w:tcW w:w="4606" w:type="dxa"/>
            <w:tcBorders>
              <w:top w:val="nil"/>
              <w:bottom w:val="single" w:sz="4" w:space="0" w:color="auto"/>
              <w:right w:val="single" w:sz="4" w:space="0" w:color="auto"/>
            </w:tcBorders>
          </w:tcPr>
          <w:p w14:paraId="0E9A5325" w14:textId="77777777" w:rsidR="006F7080" w:rsidRPr="003E637B" w:rsidRDefault="006F7080"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2"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2"/>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3"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3"/>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0D7D7F8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6F7080">
              <w:rPr>
                <w:sz w:val="22"/>
                <w:szCs w:val="22"/>
              </w:rPr>
              <w:fldChar w:fldCharType="begin">
                <w:ffData>
                  <w:name w:val="CaseACocher12"/>
                  <w:enabled/>
                  <w:calcOnExit w:val="0"/>
                  <w:checkBox>
                    <w:sizeAuto/>
                    <w:default w:val="0"/>
                  </w:checkBox>
                </w:ffData>
              </w:fldChar>
            </w:r>
            <w:bookmarkStart w:id="14" w:name="CaseACocher12"/>
            <w:r w:rsidR="006F7080">
              <w:rPr>
                <w:sz w:val="22"/>
                <w:szCs w:val="22"/>
              </w:rPr>
              <w:instrText xml:space="preserve"> FORMCHECKBOX </w:instrText>
            </w:r>
            <w:r w:rsidR="006F7080">
              <w:rPr>
                <w:sz w:val="22"/>
                <w:szCs w:val="22"/>
              </w:rPr>
            </w:r>
            <w:r w:rsidR="006F7080">
              <w:rPr>
                <w:sz w:val="22"/>
                <w:szCs w:val="22"/>
              </w:rPr>
              <w:fldChar w:fldCharType="separate"/>
            </w:r>
            <w:r w:rsidR="006F7080">
              <w:rPr>
                <w:sz w:val="22"/>
                <w:szCs w:val="22"/>
              </w:rPr>
              <w:fldChar w:fldCharType="end"/>
            </w:r>
            <w:bookmarkEnd w:id="14"/>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5"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5"/>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6"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6"/>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7"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8"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19"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9"/>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2AC25B54"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0"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0"/>
      <w:r w:rsidR="002C21FB" w:rsidRPr="003E637B">
        <w:rPr>
          <w:sz w:val="22"/>
          <w:szCs w:val="22"/>
        </w:rPr>
        <w:t xml:space="preserve"> Forêt de :</w:t>
      </w:r>
      <w:r w:rsidR="002C21FB" w:rsidRPr="003E637B">
        <w:rPr>
          <w:sz w:val="22"/>
          <w:szCs w:val="22"/>
        </w:rPr>
        <w:tab/>
      </w:r>
      <w:r w:rsidR="004D545E">
        <w:rPr>
          <w:sz w:val="22"/>
          <w:szCs w:val="22"/>
        </w:rPr>
        <w:t xml:space="preserve">FD Saint </w:t>
      </w:r>
      <w:proofErr w:type="spellStart"/>
      <w:r w:rsidR="004D545E">
        <w:rPr>
          <w:sz w:val="22"/>
          <w:szCs w:val="22"/>
        </w:rPr>
        <w:t>Nabor</w:t>
      </w:r>
      <w:proofErr w:type="spellEnd"/>
      <w:r w:rsidR="00C27FBD">
        <w:rPr>
          <w:sz w:val="22"/>
          <w:szCs w:val="22"/>
        </w:rPr>
        <w:tab/>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1"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lastRenderedPageBreak/>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5AD72658" w14:textId="328E9DFB" w:rsidR="00F01FEE" w:rsidRPr="00480AAE" w:rsidRDefault="00842100" w:rsidP="00F01FEE">
      <w:pPr>
        <w:spacing w:before="120" w:after="120"/>
        <w:rPr>
          <w:rFonts w:ascii="Arial" w:hAnsi="Arial" w:cs="Arial"/>
          <w:sz w:val="20"/>
          <w:szCs w:val="20"/>
        </w:rPr>
      </w:pPr>
      <w:r w:rsidRPr="005511DD">
        <w:rPr>
          <w:rFonts w:ascii="Arial" w:hAnsi="Arial" w:cs="Arial"/>
          <w:sz w:val="20"/>
          <w:szCs w:val="20"/>
        </w:rPr>
        <w:t xml:space="preserve">Les quantités minimales annuelles et le montant annuel maximal </w:t>
      </w:r>
      <w:r w:rsidR="00F01FEE">
        <w:rPr>
          <w:rFonts w:ascii="Arial" w:hAnsi="Arial" w:cs="Arial"/>
          <w:sz w:val="20"/>
          <w:szCs w:val="20"/>
        </w:rPr>
        <w:t>de</w:t>
      </w:r>
      <w:r w:rsidR="00F01FEE" w:rsidRPr="00F23A2A">
        <w:rPr>
          <w:rFonts w:ascii="Arial" w:hAnsi="Arial" w:cs="Arial"/>
          <w:sz w:val="20"/>
          <w:szCs w:val="20"/>
        </w:rPr>
        <w:t xml:space="preserve"> </w:t>
      </w:r>
      <w:r w:rsidR="00F01FEE">
        <w:rPr>
          <w:rFonts w:ascii="Arial" w:hAnsi="Arial" w:cs="Arial"/>
          <w:sz w:val="20"/>
          <w:szCs w:val="20"/>
        </w:rPr>
        <w:t>commande</w:t>
      </w:r>
      <w:r w:rsidR="00F01FEE" w:rsidRPr="00F23A2A">
        <w:rPr>
          <w:rFonts w:ascii="Arial" w:hAnsi="Arial" w:cs="Arial"/>
          <w:sz w:val="20"/>
          <w:szCs w:val="20"/>
        </w:rPr>
        <w:t xml:space="preserve"> susceptibles de m'être commandés sont les suivants</w:t>
      </w:r>
      <w:r w:rsidR="00F01FEE">
        <w:rPr>
          <w:rFonts w:ascii="Arial" w:hAnsi="Arial" w:cs="Arial"/>
          <w:sz w:val="20"/>
          <w:szCs w:val="20"/>
        </w:rPr>
        <w:t xml:space="preserve"> </w:t>
      </w:r>
      <w:r w:rsidR="00F01FEE" w:rsidRPr="00F23A2A">
        <w:rPr>
          <w:rFonts w:ascii="Arial" w:hAnsi="Arial" w:cs="Arial"/>
          <w:sz w:val="20"/>
          <w:szCs w:val="20"/>
        </w:rPr>
        <w:t>:</w:t>
      </w:r>
    </w:p>
    <w:p w14:paraId="0AE6F69B" w14:textId="77777777" w:rsidR="00F01FEE" w:rsidRPr="00480AAE" w:rsidRDefault="00F01FEE" w:rsidP="00F01FEE">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98F5CB8" w14:textId="4EA6A489" w:rsidR="00F01FEE" w:rsidRPr="002E5C04" w:rsidRDefault="00F01FEE" w:rsidP="00F01FEE">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2E5C04">
        <w:rPr>
          <w:rFonts w:ascii="Arial" w:hAnsi="Arial" w:cs="Arial"/>
          <w:sz w:val="20"/>
        </w:rPr>
        <w:t xml:space="preserve">Quantité annuelle cible : </w:t>
      </w:r>
      <w:r>
        <w:rPr>
          <w:rFonts w:ascii="Arial" w:hAnsi="Arial" w:cs="Arial"/>
          <w:sz w:val="20"/>
        </w:rPr>
        <w:t>60 m3A</w:t>
      </w:r>
    </w:p>
    <w:p w14:paraId="6BE4D276" w14:textId="71E1BDF8" w:rsidR="00F01FEE" w:rsidRPr="009C3003" w:rsidRDefault="00F01FEE" w:rsidP="00F01FEE">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2E5C04">
        <w:rPr>
          <w:rFonts w:ascii="Arial" w:hAnsi="Arial" w:cs="Arial"/>
          <w:sz w:val="20"/>
        </w:rPr>
        <w:t xml:space="preserve">Montant annuel maximal : </w:t>
      </w:r>
      <w:r w:rsidR="00916BCF">
        <w:rPr>
          <w:rFonts w:ascii="Arial" w:hAnsi="Arial" w:cs="Arial"/>
          <w:sz w:val="20"/>
        </w:rPr>
        <w:t>12 000</w:t>
      </w:r>
      <w:r w:rsidRPr="002E5C04">
        <w:rPr>
          <w:rFonts w:ascii="Arial" w:hAnsi="Arial" w:cs="Arial"/>
          <w:sz w:val="20"/>
        </w:rPr>
        <w:t xml:space="preserve"> €</w:t>
      </w:r>
    </w:p>
    <w:p w14:paraId="446AEDFB" w14:textId="77777777" w:rsidR="00F01FEE" w:rsidRPr="008F3949" w:rsidRDefault="00F01FEE" w:rsidP="00F01FEE">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7CDC8E98" w14:textId="77777777" w:rsidR="006B715E" w:rsidRPr="003E637B" w:rsidRDefault="006B715E" w:rsidP="006B715E">
      <w:pPr>
        <w:pStyle w:val="texte1"/>
        <w:ind w:left="7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359258EE"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6F7080">
              <w:rPr>
                <w:i/>
                <w:iCs/>
                <w:sz w:val="22"/>
                <w:szCs w:val="22"/>
              </w:rPr>
              <w:fldChar w:fldCharType="begin">
                <w:ffData>
                  <w:name w:val=""/>
                  <w:enabled/>
                  <w:calcOnExit w:val="0"/>
                  <w:checkBox>
                    <w:sizeAuto/>
                    <w:default w:val="1"/>
                  </w:checkBox>
                </w:ffData>
              </w:fldChar>
            </w:r>
            <w:r w:rsidR="006F7080">
              <w:rPr>
                <w:i/>
                <w:iCs/>
                <w:sz w:val="22"/>
                <w:szCs w:val="22"/>
              </w:rPr>
              <w:instrText xml:space="preserve"> FORMCHECKBOX </w:instrText>
            </w:r>
            <w:r w:rsidR="006F7080">
              <w:rPr>
                <w:i/>
                <w:iCs/>
                <w:sz w:val="22"/>
                <w:szCs w:val="22"/>
              </w:rPr>
            </w:r>
            <w:r w:rsidR="006F7080">
              <w:rPr>
                <w:i/>
                <w:iCs/>
                <w:sz w:val="22"/>
                <w:szCs w:val="22"/>
              </w:rPr>
              <w:fldChar w:fldCharType="separate"/>
            </w:r>
            <w:r w:rsidR="006F7080">
              <w:rPr>
                <w:i/>
                <w:iCs/>
                <w:sz w:val="22"/>
                <w:szCs w:val="22"/>
              </w:rPr>
              <w:fldChar w:fldCharType="end"/>
            </w:r>
            <w:r w:rsidRPr="00D4232B">
              <w:rPr>
                <w:i/>
                <w:iCs/>
                <w:sz w:val="22"/>
                <w:szCs w:val="22"/>
              </w:rPr>
              <w:t xml:space="preserve"> </w:t>
            </w:r>
            <w:r w:rsidR="006F7080">
              <w:rPr>
                <w:b/>
                <w:bCs/>
                <w:sz w:val="22"/>
                <w:szCs w:val="22"/>
              </w:rPr>
              <w:t>Fabrication</w:t>
            </w:r>
            <w:r>
              <w:rPr>
                <w:b/>
                <w:bCs/>
                <w:sz w:val="22"/>
                <w:szCs w:val="22"/>
              </w:rPr>
              <w:t xml:space="preserve"> de </w:t>
            </w:r>
            <w:r w:rsidR="00506CEA">
              <w:rPr>
                <w:b/>
                <w:bCs/>
                <w:sz w:val="22"/>
                <w:szCs w:val="22"/>
              </w:rPr>
              <w:t>« </w:t>
            </w:r>
            <w:r>
              <w:rPr>
                <w:b/>
                <w:bCs/>
                <w:sz w:val="22"/>
                <w:szCs w:val="22"/>
              </w:rPr>
              <w:t>stères</w:t>
            </w:r>
            <w:r w:rsidR="00506CEA">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Pr="003E637B"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19283FEB" w:rsidR="00366320" w:rsidRPr="003E637B" w:rsidRDefault="00506CEA" w:rsidP="00F452F1">
      <w:pPr>
        <w:autoSpaceDE w:val="0"/>
        <w:autoSpaceDN w:val="0"/>
        <w:adjustRightInd w:val="0"/>
        <w:jc w:val="both"/>
        <w:rPr>
          <w:rFonts w:ascii="Arial" w:hAnsi="Arial" w:cs="Arial"/>
          <w:sz w:val="20"/>
          <w:szCs w:val="20"/>
        </w:rPr>
      </w:pPr>
      <w:r>
        <w:rPr>
          <w:rFonts w:ascii="Arial" w:hAnsi="Arial" w:cs="Arial"/>
          <w:b/>
          <w:bCs/>
          <w:sz w:val="20"/>
          <w:szCs w:val="20"/>
        </w:rPr>
        <w:t>Sans objet</w:t>
      </w:r>
    </w:p>
    <w:p w14:paraId="248D7919" w14:textId="77777777" w:rsidR="009E64FE" w:rsidRDefault="009E64FE" w:rsidP="00F452F1">
      <w:pPr>
        <w:autoSpaceDE w:val="0"/>
        <w:autoSpaceDN w:val="0"/>
        <w:adjustRightInd w:val="0"/>
        <w:jc w:val="both"/>
        <w:rPr>
          <w:rFonts w:ascii="Arial" w:hAnsi="Arial" w:cs="Arial"/>
          <w:b/>
          <w:bCs/>
          <w:sz w:val="20"/>
          <w:szCs w:val="20"/>
          <w:u w:val="single"/>
        </w:rPr>
      </w:pPr>
    </w:p>
    <w:p w14:paraId="105110CD" w14:textId="77777777" w:rsidR="00506CEA" w:rsidRDefault="00506CEA" w:rsidP="00F452F1">
      <w:pPr>
        <w:autoSpaceDE w:val="0"/>
        <w:autoSpaceDN w:val="0"/>
        <w:adjustRightInd w:val="0"/>
        <w:jc w:val="both"/>
        <w:rPr>
          <w:rFonts w:ascii="Arial" w:hAnsi="Arial" w:cs="Arial"/>
          <w:b/>
          <w:bCs/>
          <w:sz w:val="20"/>
          <w:szCs w:val="20"/>
          <w:u w:val="single"/>
        </w:rPr>
      </w:pPr>
    </w:p>
    <w:p w14:paraId="04AAA6D1" w14:textId="77777777" w:rsidR="00506CEA" w:rsidRDefault="00506CEA" w:rsidP="00F452F1">
      <w:pPr>
        <w:autoSpaceDE w:val="0"/>
        <w:autoSpaceDN w:val="0"/>
        <w:adjustRightInd w:val="0"/>
        <w:jc w:val="both"/>
        <w:rPr>
          <w:rFonts w:ascii="Arial" w:hAnsi="Arial" w:cs="Arial"/>
          <w:b/>
          <w:bCs/>
          <w:sz w:val="20"/>
          <w:szCs w:val="20"/>
          <w:u w:val="single"/>
        </w:rPr>
      </w:pPr>
    </w:p>
    <w:p w14:paraId="00CD45D7" w14:textId="77777777" w:rsidR="00506CEA" w:rsidRPr="003E637B" w:rsidRDefault="00506CEA"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3"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3"/>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4"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4"/>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3BE6808A" w:rsidR="00366320" w:rsidRPr="003E637B" w:rsidRDefault="006F7080" w:rsidP="00366320">
            <w:pPr>
              <w:autoSpaceDE w:val="0"/>
              <w:autoSpaceDN w:val="0"/>
              <w:adjustRightInd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5"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6"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6"/>
    <w:bookmarkEnd w:id="25"/>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7"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7"/>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28"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28"/>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lastRenderedPageBreak/>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17B6A1E1" w14:textId="77777777" w:rsidR="00506CEA" w:rsidRPr="003E637B" w:rsidRDefault="00506CEA"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42F73436" w:rsidR="004C22DD" w:rsidRPr="003E637B" w:rsidRDefault="005D4E9C" w:rsidP="00771690">
      <w:pPr>
        <w:spacing w:after="120"/>
        <w:jc w:val="both"/>
        <w:rPr>
          <w:rFonts w:ascii="Arial" w:hAnsi="Arial" w:cs="Arial"/>
          <w:sz w:val="20"/>
        </w:rPr>
      </w:pPr>
      <w:bookmarkStart w:id="29"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w:t>
      </w:r>
      <w:r w:rsidR="004D545E">
        <w:rPr>
          <w:rFonts w:ascii="Arial" w:hAnsi="Arial" w:cs="Arial"/>
          <w:sz w:val="20"/>
        </w:rPr>
        <w:t>16</w:t>
      </w:r>
      <w:r w:rsidR="00771690" w:rsidRPr="003E637B">
        <w:rPr>
          <w:rFonts w:ascii="Arial" w:hAnsi="Arial" w:cs="Arial"/>
          <w:sz w:val="20"/>
        </w:rPr>
        <w:t xml:space="preserve"> </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29"/>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lastRenderedPageBreak/>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0"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0"/>
          <w:p w14:paraId="7B0544FE" w14:textId="3A2172D7"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w:t>
            </w:r>
            <w:r w:rsidR="009A2A39" w:rsidRPr="003E637B">
              <w:rPr>
                <w:rFonts w:ascii="Arial" w:hAnsi="Arial" w:cs="Arial"/>
                <w:sz w:val="18"/>
                <w:szCs w:val="18"/>
              </w:rPr>
              <w:t xml:space="preserve">à </w:t>
            </w:r>
            <w:r w:rsidR="009A2A39">
              <w:rPr>
                <w:rFonts w:ascii="Arial" w:hAnsi="Arial" w:cs="Arial"/>
                <w:sz w:val="18"/>
                <w:szCs w:val="18"/>
              </w:rPr>
              <w:t>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227A18">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2B27"/>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A18"/>
    <w:rsid w:val="00227D1A"/>
    <w:rsid w:val="0023516A"/>
    <w:rsid w:val="00235201"/>
    <w:rsid w:val="002364F3"/>
    <w:rsid w:val="00236B0B"/>
    <w:rsid w:val="00237C5D"/>
    <w:rsid w:val="00240397"/>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1B09"/>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2928"/>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8C5"/>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45E"/>
    <w:rsid w:val="004D5BF5"/>
    <w:rsid w:val="004D6CDA"/>
    <w:rsid w:val="004D77E9"/>
    <w:rsid w:val="004E09B7"/>
    <w:rsid w:val="004E2B83"/>
    <w:rsid w:val="004E3735"/>
    <w:rsid w:val="004E6FB4"/>
    <w:rsid w:val="004F183E"/>
    <w:rsid w:val="004F1CD2"/>
    <w:rsid w:val="004F75AF"/>
    <w:rsid w:val="00501C58"/>
    <w:rsid w:val="00503006"/>
    <w:rsid w:val="005056D2"/>
    <w:rsid w:val="00506CEA"/>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46EBC"/>
    <w:rsid w:val="006507E2"/>
    <w:rsid w:val="0065089D"/>
    <w:rsid w:val="00653AA0"/>
    <w:rsid w:val="00653C63"/>
    <w:rsid w:val="00655243"/>
    <w:rsid w:val="006558CE"/>
    <w:rsid w:val="00657D05"/>
    <w:rsid w:val="00657E48"/>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080"/>
    <w:rsid w:val="006F71AE"/>
    <w:rsid w:val="006F71FF"/>
    <w:rsid w:val="006F7B1D"/>
    <w:rsid w:val="0070064B"/>
    <w:rsid w:val="007023EC"/>
    <w:rsid w:val="0070336F"/>
    <w:rsid w:val="00703D2E"/>
    <w:rsid w:val="00705193"/>
    <w:rsid w:val="00705EE7"/>
    <w:rsid w:val="0070776D"/>
    <w:rsid w:val="007121C3"/>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47517"/>
    <w:rsid w:val="00750B16"/>
    <w:rsid w:val="0075257B"/>
    <w:rsid w:val="007552EB"/>
    <w:rsid w:val="0075740B"/>
    <w:rsid w:val="00760DFB"/>
    <w:rsid w:val="00761D81"/>
    <w:rsid w:val="007634EF"/>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6727"/>
    <w:rsid w:val="0083702D"/>
    <w:rsid w:val="008403A9"/>
    <w:rsid w:val="0084159A"/>
    <w:rsid w:val="00842100"/>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6BCF"/>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A39"/>
    <w:rsid w:val="009A2C04"/>
    <w:rsid w:val="009A5A31"/>
    <w:rsid w:val="009A7AD2"/>
    <w:rsid w:val="009B2B92"/>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156"/>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D78C6"/>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6CA1"/>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1FEE"/>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055"/>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1614</Words>
  <Characters>11004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11</cp:revision>
  <cp:lastPrinted>2013-08-27T12:58:00Z</cp:lastPrinted>
  <dcterms:created xsi:type="dcterms:W3CDTF">2025-06-24T14:39:00Z</dcterms:created>
  <dcterms:modified xsi:type="dcterms:W3CDTF">2025-07-21T12:27:00Z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